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B3" w:rsidRPr="006D26DB" w:rsidRDefault="00C73EB3" w:rsidP="00C73EB3">
      <w:pPr>
        <w:ind w:left="5812"/>
        <w:jc w:val="right"/>
        <w:rPr>
          <w:rFonts w:ascii="PT Serif" w:hAnsi="PT Serif"/>
        </w:rPr>
      </w:pPr>
      <w:r w:rsidRPr="006D26DB">
        <w:rPr>
          <w:rFonts w:ascii="PT Serif" w:hAnsi="PT Serif"/>
        </w:rPr>
        <w:t>Приложение 5 к Положению</w:t>
      </w:r>
    </w:p>
    <w:p w:rsidR="00C73EB3" w:rsidRPr="00A56031" w:rsidRDefault="00C73EB3" w:rsidP="00C73EB3">
      <w:pPr>
        <w:jc w:val="center"/>
        <w:rPr>
          <w:rFonts w:ascii="PT Serif" w:eastAsia="PT Astra Serif" w:hAnsi="PT Serif" w:cs="PT Astra Serif"/>
          <w:b/>
          <w:sz w:val="22"/>
        </w:rPr>
      </w:pPr>
      <w:r w:rsidRPr="00A56031">
        <w:rPr>
          <w:rFonts w:ascii="PT Serif" w:eastAsia="PT Astra Serif" w:hAnsi="PT Serif" w:cs="PT Astra Serif"/>
          <w:b/>
          <w:sz w:val="22"/>
        </w:rPr>
        <w:t xml:space="preserve">Оценочный лист </w:t>
      </w:r>
      <w:r>
        <w:rPr>
          <w:rFonts w:ascii="PT Serif" w:eastAsia="PT Astra Serif" w:hAnsi="PT Serif" w:cs="PT Astra Serif"/>
          <w:b/>
          <w:sz w:val="22"/>
        </w:rPr>
        <w:t>работы и выступления</w:t>
      </w:r>
    </w:p>
    <w:p w:rsidR="00C73EB3" w:rsidRPr="006D26DB" w:rsidRDefault="00C73EB3" w:rsidP="00C73EB3">
      <w:pPr>
        <w:jc w:val="center"/>
        <w:rPr>
          <w:rFonts w:ascii="PT Serif" w:eastAsia="PT Astra Serif" w:hAnsi="PT Serif" w:cs="PT Astra Serif"/>
          <w:sz w:val="22"/>
        </w:rPr>
      </w:pPr>
    </w:p>
    <w:tbl>
      <w:tblPr>
        <w:tblpPr w:leftFromText="180" w:rightFromText="180" w:vertAnchor="page" w:horzAnchor="margin" w:tblpY="2149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340"/>
        <w:gridCol w:w="977"/>
        <w:gridCol w:w="1700"/>
        <w:gridCol w:w="1700"/>
        <w:gridCol w:w="1700"/>
        <w:gridCol w:w="1700"/>
        <w:gridCol w:w="1700"/>
      </w:tblGrid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810" w:type="dxa"/>
            <w:gridSpan w:val="2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b/>
                <w:bCs/>
                <w:sz w:val="20"/>
              </w:rPr>
            </w:pPr>
            <w:r w:rsidRPr="006D26DB">
              <w:rPr>
                <w:rFonts w:ascii="PT Serif" w:hAnsi="PT Serif"/>
                <w:b/>
                <w:bCs/>
                <w:sz w:val="20"/>
              </w:rPr>
              <w:t>Критерии оценки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b/>
                <w:bCs/>
                <w:sz w:val="20"/>
              </w:rPr>
            </w:pPr>
            <w:r w:rsidRPr="006D26DB">
              <w:rPr>
                <w:rFonts w:ascii="PT Serif" w:hAnsi="PT Serif"/>
                <w:b/>
                <w:bCs/>
                <w:sz w:val="20"/>
              </w:rPr>
              <w:t>Баллы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color w:val="A6A6A6"/>
                <w:sz w:val="20"/>
              </w:rPr>
            </w:pPr>
            <w:r w:rsidRPr="006D26DB">
              <w:rPr>
                <w:rFonts w:ascii="PT Serif" w:hAnsi="PT Serif"/>
                <w:bCs/>
                <w:color w:val="A6A6A6"/>
                <w:sz w:val="20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color w:val="A6A6A6"/>
                <w:sz w:val="20"/>
                <w:szCs w:val="20"/>
              </w:rPr>
            </w:pPr>
            <w:r w:rsidRPr="006D26DB">
              <w:rPr>
                <w:rFonts w:ascii="PT Serif" w:hAnsi="PT Serif"/>
                <w:bCs/>
                <w:color w:val="A6A6A6"/>
                <w:sz w:val="20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color w:val="A6A6A6"/>
                <w:sz w:val="20"/>
                <w:szCs w:val="20"/>
              </w:rPr>
            </w:pPr>
            <w:r w:rsidRPr="006D26DB">
              <w:rPr>
                <w:rFonts w:ascii="PT Serif" w:hAnsi="PT Serif"/>
                <w:bCs/>
                <w:color w:val="A6A6A6"/>
                <w:sz w:val="20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color w:val="A6A6A6"/>
                <w:sz w:val="20"/>
                <w:szCs w:val="20"/>
              </w:rPr>
            </w:pPr>
            <w:r w:rsidRPr="006D26DB">
              <w:rPr>
                <w:rFonts w:ascii="PT Serif" w:hAnsi="PT Serif"/>
                <w:bCs/>
                <w:color w:val="A6A6A6"/>
                <w:sz w:val="20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color w:val="A6A6A6"/>
                <w:sz w:val="20"/>
                <w:szCs w:val="20"/>
              </w:rPr>
            </w:pPr>
            <w:r w:rsidRPr="006D26DB">
              <w:rPr>
                <w:rFonts w:ascii="PT Serif" w:hAnsi="PT Serif"/>
                <w:bCs/>
                <w:color w:val="A6A6A6"/>
                <w:sz w:val="20"/>
              </w:rPr>
              <w:t>ФИО участника</w:t>
            </w: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810" w:type="dxa"/>
            <w:gridSpan w:val="2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Оценка текста работы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соответствие названия содержанию работы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b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актуальность, востребованность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направленность на решение конкретной педагогической проблемы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системность работы (соответствие целей и задач содержанию)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 xml:space="preserve">реалистичность 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методическая, дидактическая значимость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наличие результата (продукта), глубина проработки темы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1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культура оформления работы (титульный лист, оглавление, список литературы и т.д.)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810" w:type="dxa"/>
            <w:gridSpan w:val="2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Оценка выступления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b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четкость изложения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изученность, понимание материала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аргументированность выводов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культура речи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полнота ответов на вопросы</w:t>
            </w:r>
          </w:p>
        </w:tc>
        <w:tc>
          <w:tcPr>
            <w:tcW w:w="977" w:type="dxa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  <w:szCs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наглядность, качество компьютерной презентации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b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соблюдение регламента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b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0-1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C73EB3" w:rsidRPr="006D26DB" w:rsidRDefault="00C73EB3" w:rsidP="00C73EB3">
            <w:pPr>
              <w:numPr>
                <w:ilvl w:val="0"/>
                <w:numId w:val="2"/>
              </w:numPr>
              <w:rPr>
                <w:rFonts w:ascii="PT Serif" w:hAnsi="PT Serif"/>
                <w:sz w:val="20"/>
              </w:rPr>
            </w:pPr>
          </w:p>
        </w:tc>
        <w:tc>
          <w:tcPr>
            <w:tcW w:w="434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sz w:val="20"/>
              </w:rPr>
            </w:pPr>
            <w:r w:rsidRPr="006D26DB">
              <w:rPr>
                <w:rFonts w:ascii="PT Serif" w:hAnsi="PT Serif"/>
                <w:sz w:val="20"/>
              </w:rPr>
              <w:t>поощрительный балл (по решению эксперта)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b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  <w:tr w:rsidR="00C73EB3" w:rsidRPr="006D26DB" w:rsidTr="0002293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810" w:type="dxa"/>
            <w:gridSpan w:val="2"/>
            <w:vAlign w:val="center"/>
          </w:tcPr>
          <w:p w:rsidR="00C73EB3" w:rsidRPr="006D26DB" w:rsidRDefault="00C73EB3" w:rsidP="0002293B">
            <w:pPr>
              <w:jc w:val="center"/>
              <w:rPr>
                <w:rFonts w:ascii="PT Serif" w:hAnsi="PT Serif"/>
                <w:b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Итого:</w:t>
            </w:r>
          </w:p>
        </w:tc>
        <w:tc>
          <w:tcPr>
            <w:tcW w:w="977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/>
                <w:b/>
                <w:sz w:val="20"/>
              </w:rPr>
            </w:pPr>
            <w:r w:rsidRPr="006D26DB">
              <w:rPr>
                <w:rFonts w:ascii="PT Serif" w:hAnsi="PT Serif"/>
                <w:b/>
                <w:sz w:val="20"/>
              </w:rPr>
              <w:t>0-25</w:t>
            </w: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  <w:tc>
          <w:tcPr>
            <w:tcW w:w="1700" w:type="dxa"/>
            <w:vAlign w:val="center"/>
          </w:tcPr>
          <w:p w:rsidR="00C73EB3" w:rsidRPr="006D26DB" w:rsidRDefault="00C73EB3" w:rsidP="0002293B">
            <w:pPr>
              <w:rPr>
                <w:rFonts w:ascii="PT Serif" w:hAnsi="PT Serif" w:cs="Arial"/>
                <w:bCs/>
                <w:sz w:val="20"/>
              </w:rPr>
            </w:pPr>
          </w:p>
        </w:tc>
      </w:tr>
    </w:tbl>
    <w:p w:rsidR="00C73EB3" w:rsidRPr="006D26DB" w:rsidRDefault="00C73EB3" w:rsidP="00C73EB3">
      <w:pPr>
        <w:jc w:val="center"/>
        <w:rPr>
          <w:rFonts w:ascii="PT Serif" w:eastAsia="PT Astra Serif" w:hAnsi="PT Serif" w:cs="PT Astra Serif"/>
          <w:sz w:val="22"/>
        </w:rPr>
      </w:pPr>
    </w:p>
    <w:p w:rsidR="00C73EB3" w:rsidRPr="006D26DB" w:rsidRDefault="00C73EB3" w:rsidP="00C73EB3">
      <w:pPr>
        <w:rPr>
          <w:rFonts w:ascii="PT Serif" w:eastAsia="PT Astra Serif" w:hAnsi="PT Serif" w:cs="PT Astra Serif"/>
          <w:sz w:val="22"/>
        </w:rPr>
      </w:pPr>
    </w:p>
    <w:p w:rsidR="00D629A6" w:rsidRDefault="00D629A6">
      <w:bookmarkStart w:id="0" w:name="_GoBack"/>
      <w:bookmarkEnd w:id="0"/>
    </w:p>
    <w:sectPr w:rsidR="00D629A6" w:rsidSect="006D26D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D02"/>
    <w:multiLevelType w:val="hybridMultilevel"/>
    <w:tmpl w:val="3DBCD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B3071"/>
    <w:multiLevelType w:val="hybridMultilevel"/>
    <w:tmpl w:val="3DBCD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8E"/>
    <w:rsid w:val="00C73EB3"/>
    <w:rsid w:val="00D629A6"/>
    <w:rsid w:val="00E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1331-728A-4F7E-85E8-77ACAFA3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2024-11-21T04:06:00Z</dcterms:created>
  <dcterms:modified xsi:type="dcterms:W3CDTF">2024-11-21T04:06:00Z</dcterms:modified>
</cp:coreProperties>
</file>